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Общество с ограниченной ответственностью «Органайзер ЛидерТаск»</w:t>
        <w:br/>
        <w:t xml:space="preserve">(ООО «Органайзер ЛидерТаск»)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УТВЕРЖДАЮ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Генеральный директор</w:t>
        <w:br/>
        <w:t xml:space="preserve">ООО «Органайзер ЛидерТаск»</w:t>
        <w:br/>
        <w:t xml:space="preserve"> __________ Абрамовский И.А,</w:t>
        <w:br/>
        <w:t xml:space="preserve">“05” октября 2024 г.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ПОЛОЖЕНИЕ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/>
      <w:bookmarkStart w:id="0" w:name="_gjdgxs"/>
      <w:r/>
      <w:bookmarkEnd w:id="0"/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о переходе на электронный документооборот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/>
      <w:bookmarkStart w:id="1" w:name="_ggs2umcdezr7"/>
      <w:r/>
      <w:bookmarkEnd w:id="1"/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1.1. Настоящее положение (далее — Положение) разработано и утверждено для применения в Обществе с ограниченной ответственностью «Органайзер ЛидерТаск» (далее — Организация или Работодатель) в соответствии со статьей 22.2 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рудового кодекса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1.2. Положение разработано в целях: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оптимизации процесса перехода к формированию кадровых документов Организации в электронном виде (электронному документообороту в сфере трудовых отношений);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освоения специализированных технических ресурсов и программных продуктов для создания единой электронной базы кадровых документов Организации в отношении трудовой деятельности работников;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своевременного и качественного технического оснащения Организации для эффективного взаимодействия с работниками Организации в части формирования и предоставления кадровых документов в электронном виде;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обеспечения соблюдения требований действующего трудового законодательства  и иных нормативных правовых актов;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определения прав, обязанностей, мер ответственности работников и Организации в части формирования кадровых документов в электронном виде.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1.3. Настоящее Положение вступает в силу с даты его утверждения и действует бессрочно. Изменения и дополнения в настоящее Положение могут вноситься локальным нормативным актом в порядке, аналогичном порядку принятия настоящего Положения.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1.4.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Работники, которые работают полностью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на дистанционном режиме, пометка об ознакомления ставиться в Согласии, которое отправляется в личные сообщения в Телеграм файлом в формате PDF. Работники его скачивают, заполняют и отправляют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ответным письмом</w:t>
      </w:r>
      <w:r/>
      <w:r>
        <w:rPr>
          <w:rFonts w:ascii="Times New Roman" w:hAnsi="Times New Roman" w:eastAsia="Times New Roman" w:cs="Times New Roman"/>
          <w:sz w:val="24"/>
          <w:szCs w:val="24"/>
          <w:highlight w:val="none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в чате Телеграм, где велась переписка.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  <w:rtl w:val="0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r>
    </w:p>
    <w:p>
      <w:pPr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Таким образом, Организация получает его ознакомление с Положением.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/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1.5. Электронный документооборот может устанавливаться для всех работников Организации в порядке и на условиях, предусмотренных настоящим Положением.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2. Срок перехода на электронный документооборот и техническое оснащение Работодателя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2.1. Переход Организации на электронный документооборот в сфере трудовых отношений осуществляется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с ”07” октября 2024 г.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2.2. Электронный документооборот в 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рганизации осуществляется посредством цифровой платформы «Контур.КЭДО».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2.3. Защита конфиденциальности информации и предотвращение несанкционированного распространения персонифицированных данных реализуются посредством применения: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квалифицированных электронно-цифровых ключей должностных лиц для ограниченного права доступа к единой электронной базе данных;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иных средств криптозащиты и шифрования при передаче и/или предоставлении документов в электронном виде.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2.4. Доступ работников к информационной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системе осуществляется через личный кабинет каждого работника Организации. После того как работники получают приглашение в Контур.КЭДО, они получат уникальные коды и пароли для создания личного кабинета на портале «Контур.КЭДО».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2.5. Для подписания электронных кадровых документов через портал «Контур.КЭДО» работодатель использует усиленную квалифицированную или неквалифицированную электронную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2.6. Работникам, которые согласились перейти на электро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нный документооборот, Работодатель безвозмездно оформляет электронные подписи. Чтобы подписывать электронные кадровые документы на портале «Контур.КЭДО», работники используют простую, усиленную квалифицированную или неквалифицированную электронную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2.7. Подписывать документы неквалифицированной электронной подписью работник может, если ее выдали через инфраструктуру Контур.КЭДО. Простую подпись можно использовать, если работник получит электронный ключ лично.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3. Порядок перехода на электронный документооборот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3.1. Организация уведомляет каждого работника 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 письменной форме об изменениях в трудовом законодательстве, связанных с переходом на электронный документооборот, а также о праве работника путем подачи соответствующего письменного заявления согласиться на переход на электронный кадровый документооборот.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3.2. Работники Орг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анизации должны быть уведомлены о возможности перейти на электронный документооборот в срок до “05” октября 2024 г. Временно отсутствующие работники, за которыми сохраняется рабочее место, должны быть уведомлены о возможности перейти на электронный докум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ентооборот не позднее одного месяца со дня возвращения к исполнению должностных обязанностей. Лица, поступающие на работу в Организацию после указанной даты, должны быть уведомлены о возможности перехода на электронный документооборот при приеме на работу.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3.3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Электронный документооборот с работниками, принимаемыми на работу в Организацию после “07” октября 2024 г. и не имеющими на день приема в Организацию трудового стажа, Согласие на переход на электронный документооборот от указанных работников не требуется.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3.4. Отсутствие согласия работника, имеющего право отказатьс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я от перехода на электронный документооборот, на взаимодействие с Работодателем посредством электронного документооборота признается отказом работника от такого взаимодействия. При этом за работником сохраняется право дать указанное согласие в последующем.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3.5.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Работник, получивший уведомление о возможности перехода на электронный документооборот, в срок, указанный в уведомлении, сообщает о св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оем решении. Подписанно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 заявление о согласии на переход на электронный документооборот или об отказе от перехода на бумажный документооборот предоставляется в Организацию в рабочее время, путем отправки Согласия в формате PDF с подписью, на корпоративную электронную почту:</w:t>
      </w:r>
      <w:r>
        <w:rPr>
          <w:rFonts w:ascii="Times New Roman" w:hAnsi="Times New Roman" w:eastAsia="Times New Roman" w:cs="Times New Roman"/>
          <w:b/>
          <w:bCs/>
          <w:color w:val="4f81bd" w:themeColor="accent1"/>
          <w:sz w:val="24"/>
          <w:szCs w:val="24"/>
          <w:rtl w:val="0"/>
        </w:rPr>
        <w:t xml:space="preserve"> </w:t>
      </w:r>
      <w:r>
        <w:rPr>
          <w:rFonts w:ascii="Liberation Sans" w:hAnsi="Liberation Sans" w:eastAsia="Liberation Sans" w:cs="Liberation Sans"/>
          <w:b/>
          <w:bCs/>
          <w:color w:val="auto"/>
          <w:sz w:val="21"/>
          <w:highlight w:val="white"/>
        </w:rPr>
        <w:t xml:space="preserve">kadry@leadertask.com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3.6. В случае отказа от перехода на электронный документооборот в отношении работника сохраняется прежний формат взаимодействия в сфере трудовых отношений — бумажного документооборота.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3.7. В случае согласия работника на переход на электронный документооборот, работодатель взаимодействует с работником с помощью документов, которые формирует в электронной форме через портал «Контур.КЭДО».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3.8. При получении от работника заявления о согласии на переход на электронный документооборот должностное лицо, ответственное за ведение кадрового учета: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при необходимости помогает работнику зарегистрироваться в Контур.КЭДО, выдает логин и пароль от личного кабинета;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за счет Организации оформляет работнику простую или усиленную электронную подпись;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вносит изменения в трудовой договор работника путем подписания дополнительного соглашения о порядке взаимодействия работника и Работодателя посредством электронного документооборота.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3.9. Если работник заявил о согласии на переход на электронный документооборот, все документы, связанные с работой работника ведутся в электронном формате со дня перехода на электронный документооборот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 Правила электронного документооборота не применяются к трудовым книжкам, сведениям о трудовой деятельности, актам о несчастном случае на производстве, приказам об увольнении и документам, подтверждающим прохождение работником инструктажа по охране труда.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before="0" w:after="0" w:line="240" w:lineRule="auto"/>
      </w:pP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1418" w:right="850" w:bottom="1134" w:left="1701" w:header="142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Georgia">
    <w:panose1 w:val="02040503050406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link w:val="833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link w:val="834"/>
    <w:uiPriority w:val="9"/>
    <w:rPr>
      <w:rFonts w:ascii="Arial" w:hAnsi="Arial" w:eastAsia="Arial" w:cs="Arial"/>
      <w:sz w:val="34"/>
    </w:rPr>
  </w:style>
  <w:style w:type="character" w:styleId="662">
    <w:name w:val="Heading 3 Char"/>
    <w:link w:val="835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link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table" w:styleId="673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74">
    <w:name w:val="No Spacing"/>
    <w:uiPriority w:val="1"/>
    <w:qFormat/>
    <w:pPr>
      <w:spacing w:before="0" w:after="0" w:line="240" w:lineRule="auto"/>
    </w:pPr>
  </w:style>
  <w:style w:type="character" w:styleId="675">
    <w:name w:val="Title Char"/>
    <w:link w:val="839"/>
    <w:uiPriority w:val="10"/>
    <w:rPr>
      <w:sz w:val="48"/>
      <w:szCs w:val="48"/>
    </w:rPr>
  </w:style>
  <w:style w:type="character" w:styleId="676">
    <w:name w:val="Subtitle Char"/>
    <w:link w:val="840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6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</w:style>
  <w:style w:type="table" w:styleId="832" w:default="1">
    <w:name w:val="Table Normal"/>
    <w:tblPr/>
  </w:style>
  <w:style w:type="paragraph" w:styleId="833">
    <w:name w:val="Heading 1"/>
    <w:basedOn w:val="831"/>
    <w:next w:val="831"/>
    <w:pPr>
      <w:keepLines/>
      <w:keepNext/>
      <w:pageBreakBefore w:val="0"/>
      <w:spacing w:before="480" w:after="120"/>
    </w:pPr>
    <w:rPr>
      <w:b/>
      <w:sz w:val="48"/>
      <w:szCs w:val="48"/>
    </w:rPr>
  </w:style>
  <w:style w:type="paragraph" w:styleId="834">
    <w:name w:val="Heading 2"/>
    <w:basedOn w:val="831"/>
    <w:next w:val="831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835">
    <w:name w:val="Heading 3"/>
    <w:basedOn w:val="831"/>
    <w:next w:val="831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36">
    <w:name w:val="Heading 4"/>
    <w:basedOn w:val="831"/>
    <w:next w:val="831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837">
    <w:name w:val="Heading 5"/>
    <w:basedOn w:val="831"/>
    <w:next w:val="831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38">
    <w:name w:val="Heading 6"/>
    <w:basedOn w:val="831"/>
    <w:next w:val="831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839">
    <w:name w:val="Title"/>
    <w:basedOn w:val="831"/>
    <w:next w:val="831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40">
    <w:name w:val="Subtitle"/>
    <w:basedOn w:val="831"/>
    <w:next w:val="831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Кадры ЛидерТаск</cp:lastModifiedBy>
  <cp:revision>2</cp:revision>
  <dcterms:modified xsi:type="dcterms:W3CDTF">2024-10-04T06:20:00Z</dcterms:modified>
</cp:coreProperties>
</file>